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645"/>
        <w:tblOverlap w:val="never"/>
        <w:tblW w:w="9562" w:type="dxa"/>
        <w:tblBorders>
          <w:top w:val="single" w:sz="4" w:space="0" w:color="F7941D"/>
          <w:left w:val="single" w:sz="4" w:space="0" w:color="F7941D"/>
          <w:bottom w:val="single" w:sz="4" w:space="0" w:color="F7941D"/>
          <w:right w:val="single" w:sz="4" w:space="0" w:color="F7941D"/>
          <w:insideH w:val="single" w:sz="4" w:space="0" w:color="F7941D"/>
          <w:insideV w:val="single" w:sz="4" w:space="0" w:color="F7941D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2566"/>
        <w:gridCol w:w="2802"/>
      </w:tblGrid>
      <w:tr w:rsidR="00B656C9" w:rsidRPr="00AF195D" w14:paraId="0F8EF914" w14:textId="2067B670" w:rsidTr="001547D0">
        <w:trPr>
          <w:trHeight w:val="671"/>
        </w:trPr>
        <w:tc>
          <w:tcPr>
            <w:tcW w:w="4194" w:type="dxa"/>
            <w:tcBorders>
              <w:right w:val="single" w:sz="4" w:space="0" w:color="FFFFFF" w:themeColor="background1"/>
            </w:tcBorders>
            <w:shd w:val="clear" w:color="auto" w:fill="F7941D"/>
          </w:tcPr>
          <w:p w14:paraId="63A3B1E4" w14:textId="77777777" w:rsidR="00B656C9" w:rsidRPr="00AF195D" w:rsidRDefault="00B656C9" w:rsidP="001547D0">
            <w:pPr>
              <w:jc w:val="center"/>
              <w:rPr>
                <w:rFonts w:ascii="Roboto Condensed" w:hAnsi="Roboto Condensed" w:cs="Calibri"/>
                <w:b/>
                <w:sz w:val="28"/>
                <w:szCs w:val="28"/>
              </w:rPr>
            </w:pPr>
            <w:r w:rsidRPr="00AF195D">
              <w:rPr>
                <w:rFonts w:ascii="Roboto Condensed" w:hAnsi="Roboto Condensed" w:cs="Calibri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</w:tcPr>
          <w:p w14:paraId="19EC5890" w14:textId="77777777" w:rsidR="00B656C9" w:rsidRPr="00AF195D" w:rsidRDefault="00B656C9" w:rsidP="001547D0">
            <w:pPr>
              <w:jc w:val="center"/>
              <w:rPr>
                <w:rFonts w:ascii="Roboto Condensed" w:hAnsi="Roboto Condensed" w:cs="Calibri"/>
                <w:b/>
                <w:sz w:val="28"/>
                <w:szCs w:val="28"/>
              </w:rPr>
            </w:pPr>
            <w:r w:rsidRPr="00AF195D">
              <w:rPr>
                <w:rFonts w:ascii="Roboto Condensed" w:hAnsi="Roboto Condensed" w:cs="Calibri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801" w:type="dxa"/>
            <w:tcBorders>
              <w:left w:val="single" w:sz="4" w:space="0" w:color="FFFFFF" w:themeColor="background1"/>
            </w:tcBorders>
            <w:shd w:val="clear" w:color="auto" w:fill="F7941D"/>
          </w:tcPr>
          <w:p w14:paraId="1B0E52E6" w14:textId="26A19736" w:rsidR="00B656C9" w:rsidRPr="00AF195D" w:rsidRDefault="00B656C9" w:rsidP="001547D0">
            <w:pPr>
              <w:jc w:val="center"/>
              <w:rPr>
                <w:rFonts w:ascii="Roboto Condensed" w:hAnsi="Roboto Condensed" w:cs="Calibri"/>
                <w:b/>
                <w:sz w:val="28"/>
                <w:szCs w:val="28"/>
              </w:rPr>
            </w:pPr>
            <w:r w:rsidRPr="00AF195D">
              <w:rPr>
                <w:rFonts w:ascii="Roboto Condensed" w:hAnsi="Roboto Condensed" w:cs="Calibri"/>
                <w:b/>
                <w:sz w:val="28"/>
                <w:szCs w:val="28"/>
              </w:rPr>
              <w:t xml:space="preserve">Цена </w:t>
            </w:r>
          </w:p>
        </w:tc>
      </w:tr>
      <w:tr w:rsidR="00B656C9" w:rsidRPr="00AF195D" w14:paraId="2390E007" w14:textId="24D72E15" w:rsidTr="001547D0">
        <w:trPr>
          <w:trHeight w:val="341"/>
        </w:trPr>
        <w:tc>
          <w:tcPr>
            <w:tcW w:w="9562" w:type="dxa"/>
            <w:gridSpan w:val="3"/>
            <w:shd w:val="clear" w:color="auto" w:fill="auto"/>
          </w:tcPr>
          <w:p w14:paraId="5B172FC8" w14:textId="1E920B22" w:rsidR="00B656C9" w:rsidRPr="00AF195D" w:rsidRDefault="00B656C9" w:rsidP="001547D0">
            <w:pPr>
              <w:jc w:val="center"/>
              <w:rPr>
                <w:rFonts w:ascii="Roboto Condensed" w:hAnsi="Roboto Condensed" w:cs="Calibri"/>
                <w:b/>
                <w:sz w:val="28"/>
                <w:szCs w:val="28"/>
              </w:rPr>
            </w:pPr>
            <w:r w:rsidRPr="00AF195D">
              <w:rPr>
                <w:rFonts w:ascii="Roboto Condensed" w:hAnsi="Roboto Condensed" w:cs="Calibri"/>
                <w:b/>
                <w:sz w:val="28"/>
                <w:szCs w:val="28"/>
              </w:rPr>
              <w:t>Буровые работы</w:t>
            </w:r>
          </w:p>
        </w:tc>
      </w:tr>
      <w:tr w:rsidR="00B656C9" w:rsidRPr="00AF195D" w14:paraId="69785A84" w14:textId="69FCA1EC" w:rsidTr="001547D0">
        <w:trPr>
          <w:trHeight w:val="286"/>
        </w:trPr>
        <w:tc>
          <w:tcPr>
            <w:tcW w:w="4194" w:type="dxa"/>
            <w:shd w:val="clear" w:color="auto" w:fill="auto"/>
          </w:tcPr>
          <w:p w14:paraId="07EF3441" w14:textId="47748A7B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Бурение скважин</w:t>
            </w:r>
          </w:p>
        </w:tc>
        <w:tc>
          <w:tcPr>
            <w:tcW w:w="2566" w:type="dxa"/>
          </w:tcPr>
          <w:p w14:paraId="7EB44E91" w14:textId="326E460C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метр</w:t>
            </w:r>
          </w:p>
        </w:tc>
        <w:tc>
          <w:tcPr>
            <w:tcW w:w="2801" w:type="dxa"/>
            <w:shd w:val="clear" w:color="auto" w:fill="auto"/>
          </w:tcPr>
          <w:p w14:paraId="66371047" w14:textId="14C422B0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800 руб.</w:t>
            </w:r>
          </w:p>
        </w:tc>
      </w:tr>
      <w:tr w:rsidR="00B656C9" w:rsidRPr="00AF195D" w14:paraId="439A1E7E" w14:textId="7EDFA7DC" w:rsidTr="001547D0">
        <w:trPr>
          <w:trHeight w:val="861"/>
        </w:trPr>
        <w:tc>
          <w:tcPr>
            <w:tcW w:w="4194" w:type="dxa"/>
            <w:shd w:val="clear" w:color="auto" w:fill="auto"/>
          </w:tcPr>
          <w:p w14:paraId="1A74E19C" w14:textId="2A322DAF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Бурение скважин малогабаритной установкой</w:t>
            </w:r>
          </w:p>
        </w:tc>
        <w:tc>
          <w:tcPr>
            <w:tcW w:w="2566" w:type="dxa"/>
          </w:tcPr>
          <w:p w14:paraId="10FFD619" w14:textId="0B6C67B2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метр</w:t>
            </w:r>
          </w:p>
        </w:tc>
        <w:tc>
          <w:tcPr>
            <w:tcW w:w="2801" w:type="dxa"/>
            <w:shd w:val="clear" w:color="auto" w:fill="auto"/>
          </w:tcPr>
          <w:p w14:paraId="41C527F1" w14:textId="4B3A241C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1200 руб.</w:t>
            </w:r>
          </w:p>
        </w:tc>
      </w:tr>
      <w:tr w:rsidR="00B656C9" w:rsidRPr="00AF195D" w14:paraId="0F50FFB6" w14:textId="249BFBCD" w:rsidTr="001547D0">
        <w:trPr>
          <w:trHeight w:val="328"/>
        </w:trPr>
        <w:tc>
          <w:tcPr>
            <w:tcW w:w="9562" w:type="dxa"/>
            <w:gridSpan w:val="3"/>
            <w:shd w:val="clear" w:color="auto" w:fill="auto"/>
          </w:tcPr>
          <w:p w14:paraId="6000873C" w14:textId="0283F726" w:rsidR="00B656C9" w:rsidRPr="00AF195D" w:rsidRDefault="00B656C9" w:rsidP="001547D0">
            <w:pPr>
              <w:jc w:val="center"/>
              <w:rPr>
                <w:rFonts w:ascii="Roboto Condensed" w:hAnsi="Roboto Condensed" w:cs="Calibri"/>
                <w:b/>
                <w:sz w:val="28"/>
                <w:szCs w:val="28"/>
              </w:rPr>
            </w:pPr>
            <w:r w:rsidRPr="00AF195D">
              <w:rPr>
                <w:rFonts w:ascii="Roboto Condensed" w:hAnsi="Roboto Condensed" w:cs="Calibri"/>
                <w:b/>
                <w:sz w:val="28"/>
                <w:szCs w:val="28"/>
              </w:rPr>
              <w:t>Инженерные изыскания</w:t>
            </w:r>
          </w:p>
        </w:tc>
      </w:tr>
      <w:tr w:rsidR="00B656C9" w:rsidRPr="00AF195D" w14:paraId="6354562B" w14:textId="1BFE5BA5" w:rsidTr="001547D0">
        <w:trPr>
          <w:trHeight w:val="1163"/>
        </w:trPr>
        <w:tc>
          <w:tcPr>
            <w:tcW w:w="4194" w:type="dxa"/>
            <w:shd w:val="clear" w:color="auto" w:fill="auto"/>
          </w:tcPr>
          <w:p w14:paraId="0EF0263C" w14:textId="3581E22C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Инженерно-геодезические изыскания для строительства</w:t>
            </w:r>
          </w:p>
        </w:tc>
        <w:tc>
          <w:tcPr>
            <w:tcW w:w="2566" w:type="dxa"/>
          </w:tcPr>
          <w:p w14:paraId="2DF78D6F" w14:textId="4EE545AC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гектар</w:t>
            </w:r>
          </w:p>
        </w:tc>
        <w:tc>
          <w:tcPr>
            <w:tcW w:w="2801" w:type="dxa"/>
            <w:shd w:val="clear" w:color="auto" w:fill="auto"/>
          </w:tcPr>
          <w:p w14:paraId="0CF9B9AA" w14:textId="4726602D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10 000 руб.</w:t>
            </w:r>
          </w:p>
        </w:tc>
      </w:tr>
      <w:tr w:rsidR="00B656C9" w:rsidRPr="00AF195D" w14:paraId="220C5039" w14:textId="2FEFF939" w:rsidTr="001547D0">
        <w:trPr>
          <w:trHeight w:val="861"/>
        </w:trPr>
        <w:tc>
          <w:tcPr>
            <w:tcW w:w="4194" w:type="dxa"/>
            <w:shd w:val="clear" w:color="auto" w:fill="auto"/>
          </w:tcPr>
          <w:p w14:paraId="5953E93B" w14:textId="78BC0E82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2566" w:type="dxa"/>
          </w:tcPr>
          <w:p w14:paraId="03276676" w14:textId="2BF07EE8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метр</w:t>
            </w:r>
          </w:p>
        </w:tc>
        <w:tc>
          <w:tcPr>
            <w:tcW w:w="2801" w:type="dxa"/>
            <w:shd w:val="clear" w:color="auto" w:fill="auto"/>
          </w:tcPr>
          <w:p w14:paraId="1992712B" w14:textId="63C4851B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2000 руб.</w:t>
            </w:r>
          </w:p>
        </w:tc>
      </w:tr>
      <w:tr w:rsidR="00B656C9" w:rsidRPr="00AF195D" w14:paraId="15B4B51F" w14:textId="338E8693" w:rsidTr="001547D0">
        <w:trPr>
          <w:trHeight w:val="875"/>
        </w:trPr>
        <w:tc>
          <w:tcPr>
            <w:tcW w:w="4194" w:type="dxa"/>
            <w:shd w:val="clear" w:color="auto" w:fill="auto"/>
          </w:tcPr>
          <w:p w14:paraId="7F26FEF3" w14:textId="43624486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2566" w:type="dxa"/>
          </w:tcPr>
          <w:p w14:paraId="160F9A01" w14:textId="3C102C09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отчет</w:t>
            </w:r>
          </w:p>
        </w:tc>
        <w:tc>
          <w:tcPr>
            <w:tcW w:w="2801" w:type="dxa"/>
            <w:shd w:val="clear" w:color="auto" w:fill="auto"/>
          </w:tcPr>
          <w:p w14:paraId="6F93D73A" w14:textId="4CE4B66D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 xml:space="preserve"> От 15 000 руб.</w:t>
            </w:r>
          </w:p>
        </w:tc>
      </w:tr>
      <w:tr w:rsidR="00B656C9" w:rsidRPr="00AF195D" w14:paraId="12A5A96F" w14:textId="5302A36D" w:rsidTr="001547D0">
        <w:trPr>
          <w:trHeight w:val="861"/>
        </w:trPr>
        <w:tc>
          <w:tcPr>
            <w:tcW w:w="4194" w:type="dxa"/>
            <w:shd w:val="clear" w:color="auto" w:fill="auto"/>
          </w:tcPr>
          <w:p w14:paraId="6786BDED" w14:textId="6F43EB47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2566" w:type="dxa"/>
          </w:tcPr>
          <w:p w14:paraId="37311A0B" w14:textId="198C8B70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отчет</w:t>
            </w:r>
          </w:p>
        </w:tc>
        <w:tc>
          <w:tcPr>
            <w:tcW w:w="2801" w:type="dxa"/>
            <w:shd w:val="clear" w:color="auto" w:fill="auto"/>
          </w:tcPr>
          <w:p w14:paraId="71C0F5E1" w14:textId="20349928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30 000 руб.</w:t>
            </w:r>
          </w:p>
        </w:tc>
      </w:tr>
      <w:tr w:rsidR="00B656C9" w:rsidRPr="00AF195D" w14:paraId="773B8CF0" w14:textId="0756DA23" w:rsidTr="001547D0">
        <w:trPr>
          <w:trHeight w:val="575"/>
        </w:trPr>
        <w:tc>
          <w:tcPr>
            <w:tcW w:w="4194" w:type="dxa"/>
            <w:shd w:val="clear" w:color="auto" w:fill="auto"/>
          </w:tcPr>
          <w:p w14:paraId="2DB55EE7" w14:textId="2BF4384E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Геофизические исследования</w:t>
            </w:r>
          </w:p>
        </w:tc>
        <w:tc>
          <w:tcPr>
            <w:tcW w:w="2566" w:type="dxa"/>
          </w:tcPr>
          <w:p w14:paraId="220697C4" w14:textId="0F67891B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отчет</w:t>
            </w:r>
          </w:p>
        </w:tc>
        <w:tc>
          <w:tcPr>
            <w:tcW w:w="2801" w:type="dxa"/>
            <w:shd w:val="clear" w:color="auto" w:fill="auto"/>
          </w:tcPr>
          <w:p w14:paraId="71F8F77E" w14:textId="6CA3C529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30 000 руб.</w:t>
            </w:r>
          </w:p>
        </w:tc>
      </w:tr>
      <w:tr w:rsidR="00B656C9" w:rsidRPr="00AF195D" w14:paraId="76E93C75" w14:textId="77777777" w:rsidTr="001547D0">
        <w:trPr>
          <w:trHeight w:val="286"/>
        </w:trPr>
        <w:tc>
          <w:tcPr>
            <w:tcW w:w="4194" w:type="dxa"/>
            <w:shd w:val="clear" w:color="auto" w:fill="auto"/>
          </w:tcPr>
          <w:p w14:paraId="78C32329" w14:textId="26717ECC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 xml:space="preserve">Полевые испытания </w:t>
            </w:r>
          </w:p>
        </w:tc>
        <w:tc>
          <w:tcPr>
            <w:tcW w:w="2566" w:type="dxa"/>
          </w:tcPr>
          <w:p w14:paraId="7128DF51" w14:textId="0EF67CC1" w:rsidR="00B656C9" w:rsidRPr="00672F5F" w:rsidRDefault="00165BF6" w:rsidP="001547D0">
            <w:pPr>
              <w:rPr>
                <w:rFonts w:ascii="Roboto Condensed" w:hAnsi="Roboto Condensed" w:cs="Calibri"/>
              </w:rPr>
            </w:pPr>
            <w:r>
              <w:rPr>
                <w:rFonts w:ascii="Roboto Condensed" w:hAnsi="Roboto Condensed" w:cs="Calibri"/>
              </w:rPr>
              <w:t>1 отчет</w:t>
            </w:r>
          </w:p>
        </w:tc>
        <w:tc>
          <w:tcPr>
            <w:tcW w:w="2801" w:type="dxa"/>
            <w:shd w:val="clear" w:color="auto" w:fill="auto"/>
          </w:tcPr>
          <w:p w14:paraId="480C1758" w14:textId="1A00DECF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>
              <w:rPr>
                <w:rFonts w:ascii="Roboto Condensed" w:hAnsi="Roboto Condensed" w:cs="Calibri"/>
              </w:rPr>
              <w:t>От 10 000 руб.</w:t>
            </w:r>
          </w:p>
        </w:tc>
      </w:tr>
      <w:tr w:rsidR="00B656C9" w:rsidRPr="00AF195D" w14:paraId="12A22EA5" w14:textId="23A53218" w:rsidTr="001547D0">
        <w:trPr>
          <w:trHeight w:val="341"/>
        </w:trPr>
        <w:tc>
          <w:tcPr>
            <w:tcW w:w="9562" w:type="dxa"/>
            <w:gridSpan w:val="3"/>
            <w:shd w:val="clear" w:color="auto" w:fill="auto"/>
          </w:tcPr>
          <w:p w14:paraId="5582B68D" w14:textId="0590F0B5" w:rsidR="00B656C9" w:rsidRPr="00AF195D" w:rsidRDefault="00B656C9" w:rsidP="001547D0">
            <w:pPr>
              <w:jc w:val="center"/>
              <w:rPr>
                <w:rFonts w:ascii="Roboto Condensed" w:hAnsi="Roboto Condensed" w:cs="Calibri"/>
                <w:b/>
                <w:sz w:val="28"/>
                <w:szCs w:val="28"/>
              </w:rPr>
            </w:pPr>
            <w:r w:rsidRPr="00AF195D">
              <w:rPr>
                <w:rFonts w:ascii="Roboto Condensed" w:hAnsi="Roboto Condensed" w:cs="Calibri"/>
                <w:b/>
                <w:sz w:val="28"/>
                <w:szCs w:val="28"/>
              </w:rPr>
              <w:t>Лабораторные исследования</w:t>
            </w:r>
          </w:p>
        </w:tc>
      </w:tr>
      <w:tr w:rsidR="00B656C9" w:rsidRPr="00AF195D" w14:paraId="2FB674E7" w14:textId="1EF9CA67" w:rsidTr="001547D0">
        <w:trPr>
          <w:trHeight w:val="1437"/>
        </w:trPr>
        <w:tc>
          <w:tcPr>
            <w:tcW w:w="4194" w:type="dxa"/>
            <w:shd w:val="clear" w:color="auto" w:fill="auto"/>
          </w:tcPr>
          <w:p w14:paraId="4A9E0764" w14:textId="38968E64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Дозиметрическое обследование территории (измерение МЭД гамма-излучения)</w:t>
            </w:r>
          </w:p>
        </w:tc>
        <w:tc>
          <w:tcPr>
            <w:tcW w:w="2566" w:type="dxa"/>
          </w:tcPr>
          <w:p w14:paraId="2B8E5E3F" w14:textId="239D13A5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площадка</w:t>
            </w:r>
          </w:p>
        </w:tc>
        <w:tc>
          <w:tcPr>
            <w:tcW w:w="2801" w:type="dxa"/>
            <w:shd w:val="clear" w:color="auto" w:fill="auto"/>
          </w:tcPr>
          <w:p w14:paraId="0FC26557" w14:textId="732B2A35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3500 руб.</w:t>
            </w:r>
          </w:p>
        </w:tc>
      </w:tr>
      <w:tr w:rsidR="00B656C9" w:rsidRPr="00AF195D" w14:paraId="27E94D08" w14:textId="16E57223" w:rsidTr="001547D0">
        <w:trPr>
          <w:trHeight w:val="575"/>
        </w:trPr>
        <w:tc>
          <w:tcPr>
            <w:tcW w:w="4194" w:type="dxa"/>
            <w:shd w:val="clear" w:color="auto" w:fill="auto"/>
          </w:tcPr>
          <w:p w14:paraId="5F568691" w14:textId="1B775B31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Измерение плотности потока радона</w:t>
            </w:r>
          </w:p>
        </w:tc>
        <w:tc>
          <w:tcPr>
            <w:tcW w:w="2566" w:type="dxa"/>
          </w:tcPr>
          <w:p w14:paraId="157561B0" w14:textId="40841875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точка</w:t>
            </w:r>
          </w:p>
        </w:tc>
        <w:tc>
          <w:tcPr>
            <w:tcW w:w="2801" w:type="dxa"/>
            <w:shd w:val="clear" w:color="auto" w:fill="auto"/>
          </w:tcPr>
          <w:p w14:paraId="53315DD3" w14:textId="31C55AB0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850 руб.</w:t>
            </w:r>
          </w:p>
        </w:tc>
      </w:tr>
      <w:tr w:rsidR="00B656C9" w:rsidRPr="00AF195D" w14:paraId="4F21C212" w14:textId="0A9E7567" w:rsidTr="001547D0">
        <w:trPr>
          <w:trHeight w:val="588"/>
        </w:trPr>
        <w:tc>
          <w:tcPr>
            <w:tcW w:w="4194" w:type="dxa"/>
            <w:shd w:val="clear" w:color="auto" w:fill="auto"/>
          </w:tcPr>
          <w:p w14:paraId="4895C9F5" w14:textId="49672BDE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proofErr w:type="spellStart"/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Газогеохимические</w:t>
            </w:r>
            <w:proofErr w:type="spellEnd"/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566" w:type="dxa"/>
          </w:tcPr>
          <w:p w14:paraId="35718690" w14:textId="7CC62471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точка</w:t>
            </w:r>
          </w:p>
        </w:tc>
        <w:tc>
          <w:tcPr>
            <w:tcW w:w="2801" w:type="dxa"/>
            <w:shd w:val="clear" w:color="auto" w:fill="auto"/>
          </w:tcPr>
          <w:p w14:paraId="5F440286" w14:textId="0D9521B8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1000 руб.</w:t>
            </w:r>
          </w:p>
        </w:tc>
      </w:tr>
      <w:tr w:rsidR="00B656C9" w:rsidRPr="00AF195D" w14:paraId="12C4DA1F" w14:textId="4143C296" w:rsidTr="001547D0">
        <w:trPr>
          <w:trHeight w:val="286"/>
        </w:trPr>
        <w:tc>
          <w:tcPr>
            <w:tcW w:w="4194" w:type="dxa"/>
            <w:shd w:val="clear" w:color="auto" w:fill="auto"/>
          </w:tcPr>
          <w:p w14:paraId="567BD954" w14:textId="4567A8B1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 xml:space="preserve">Измерение шума </w:t>
            </w:r>
          </w:p>
        </w:tc>
        <w:tc>
          <w:tcPr>
            <w:tcW w:w="2566" w:type="dxa"/>
          </w:tcPr>
          <w:p w14:paraId="684D6246" w14:textId="65D6D178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точка</w:t>
            </w:r>
          </w:p>
        </w:tc>
        <w:tc>
          <w:tcPr>
            <w:tcW w:w="2801" w:type="dxa"/>
            <w:shd w:val="clear" w:color="auto" w:fill="auto"/>
          </w:tcPr>
          <w:p w14:paraId="7BC013CF" w14:textId="43B39524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900 руб.</w:t>
            </w:r>
          </w:p>
        </w:tc>
      </w:tr>
      <w:tr w:rsidR="00B656C9" w:rsidRPr="00AF195D" w14:paraId="23F2ACDD" w14:textId="35DA7B50" w:rsidTr="001547D0">
        <w:trPr>
          <w:trHeight w:val="286"/>
        </w:trPr>
        <w:tc>
          <w:tcPr>
            <w:tcW w:w="4194" w:type="dxa"/>
            <w:shd w:val="clear" w:color="auto" w:fill="auto"/>
          </w:tcPr>
          <w:p w14:paraId="0915C6D9" w14:textId="37F9A64E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Измерение ЭРОА</w:t>
            </w:r>
          </w:p>
        </w:tc>
        <w:tc>
          <w:tcPr>
            <w:tcW w:w="2566" w:type="dxa"/>
          </w:tcPr>
          <w:p w14:paraId="237A3778" w14:textId="3CCABE8F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 xml:space="preserve">1 точка </w:t>
            </w:r>
          </w:p>
        </w:tc>
        <w:tc>
          <w:tcPr>
            <w:tcW w:w="2801" w:type="dxa"/>
            <w:shd w:val="clear" w:color="auto" w:fill="auto"/>
          </w:tcPr>
          <w:p w14:paraId="22AEB8C2" w14:textId="6FC9E484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850 руб.</w:t>
            </w:r>
          </w:p>
        </w:tc>
      </w:tr>
      <w:tr w:rsidR="00B656C9" w:rsidRPr="00AF195D" w14:paraId="494C62BB" w14:textId="7CB78792" w:rsidTr="001547D0">
        <w:trPr>
          <w:trHeight w:val="273"/>
        </w:trPr>
        <w:tc>
          <w:tcPr>
            <w:tcW w:w="4194" w:type="dxa"/>
            <w:shd w:val="clear" w:color="auto" w:fill="auto"/>
          </w:tcPr>
          <w:p w14:paraId="1F919886" w14:textId="735494BD" w:rsidR="00B656C9" w:rsidRPr="00672F5F" w:rsidRDefault="00B656C9" w:rsidP="001547D0">
            <w:pPr>
              <w:pStyle w:val="1"/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</w:pPr>
            <w:r w:rsidRPr="00672F5F">
              <w:rPr>
                <w:rFonts w:ascii="Roboto Condensed" w:hAnsi="Roboto Condensed" w:cs="Calibri"/>
                <w:b w:val="0"/>
                <w:bCs w:val="0"/>
                <w:sz w:val="24"/>
                <w:szCs w:val="24"/>
              </w:rPr>
              <w:t>Измерение ЭМИ</w:t>
            </w:r>
          </w:p>
        </w:tc>
        <w:tc>
          <w:tcPr>
            <w:tcW w:w="2566" w:type="dxa"/>
          </w:tcPr>
          <w:p w14:paraId="2F951CA1" w14:textId="1A5E067F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1 точка</w:t>
            </w:r>
          </w:p>
        </w:tc>
        <w:tc>
          <w:tcPr>
            <w:tcW w:w="2801" w:type="dxa"/>
            <w:shd w:val="clear" w:color="auto" w:fill="auto"/>
          </w:tcPr>
          <w:p w14:paraId="06781F10" w14:textId="718FF55A" w:rsidR="00B656C9" w:rsidRPr="00672F5F" w:rsidRDefault="00B656C9" w:rsidP="001547D0">
            <w:pPr>
              <w:rPr>
                <w:rFonts w:ascii="Roboto Condensed" w:hAnsi="Roboto Condensed" w:cs="Calibri"/>
              </w:rPr>
            </w:pPr>
            <w:r w:rsidRPr="00672F5F">
              <w:rPr>
                <w:rFonts w:ascii="Roboto Condensed" w:hAnsi="Roboto Condensed" w:cs="Calibri"/>
              </w:rPr>
              <w:t>От 600 руб.</w:t>
            </w:r>
          </w:p>
        </w:tc>
      </w:tr>
    </w:tbl>
    <w:p w14:paraId="5BD80CD8" w14:textId="77777777" w:rsidR="001547D0" w:rsidRDefault="001547D0" w:rsidP="0007417C">
      <w:pPr>
        <w:pStyle w:val="1"/>
        <w:rPr>
          <w:sz w:val="32"/>
          <w:szCs w:val="32"/>
        </w:rPr>
      </w:pPr>
    </w:p>
    <w:p w14:paraId="41D97BF1" w14:textId="6859E5F6" w:rsidR="00867734" w:rsidRDefault="001547D0" w:rsidP="0007417C">
      <w:pPr>
        <w:pStyle w:val="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FE8E8" wp14:editId="566B2AE8">
            <wp:simplePos x="1173192" y="715992"/>
            <wp:positionH relativeFrom="margin">
              <wp:align>left</wp:align>
            </wp:positionH>
            <wp:positionV relativeFrom="margin">
              <wp:align>top</wp:align>
            </wp:positionV>
            <wp:extent cx="848994" cy="810878"/>
            <wp:effectExtent l="0" t="0" r="889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4" cy="8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17C" w:rsidRPr="0007417C">
        <w:rPr>
          <w:sz w:val="32"/>
          <w:szCs w:val="32"/>
        </w:rPr>
        <w:t>Прайс-лист услуг изыскательской компании ООО «РАДО»</w:t>
      </w:r>
    </w:p>
    <w:p w14:paraId="0C8ADD1B" w14:textId="465107D6" w:rsidR="00165BF6" w:rsidRDefault="00165BF6" w:rsidP="00165BF6"/>
    <w:p w14:paraId="2DA66AF8" w14:textId="77777777" w:rsidR="00165BF6" w:rsidRPr="00165BF6" w:rsidRDefault="00165BF6" w:rsidP="00165BF6"/>
    <w:p w14:paraId="40C5EE55" w14:textId="5C964CE0" w:rsidR="00E00176" w:rsidRPr="0007417C" w:rsidRDefault="002205B4">
      <w:pPr>
        <w:rPr>
          <w:rFonts w:asciiTheme="minorHAnsi" w:hAnsiTheme="minorHAnsi" w:cstheme="minorHAnsi"/>
          <w:sz w:val="22"/>
          <w:szCs w:val="22"/>
        </w:rPr>
      </w:pPr>
      <w:r>
        <w:br w:type="textWrapping" w:clear="all"/>
      </w:r>
    </w:p>
    <w:sectPr w:rsidR="00E00176" w:rsidRPr="0007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4"/>
    <w:rsid w:val="0007417C"/>
    <w:rsid w:val="000875D9"/>
    <w:rsid w:val="001400ED"/>
    <w:rsid w:val="001547D0"/>
    <w:rsid w:val="00165BF6"/>
    <w:rsid w:val="002205B4"/>
    <w:rsid w:val="00254D5F"/>
    <w:rsid w:val="00265652"/>
    <w:rsid w:val="003C503E"/>
    <w:rsid w:val="004420C8"/>
    <w:rsid w:val="00672F5F"/>
    <w:rsid w:val="006C26AB"/>
    <w:rsid w:val="006D74D0"/>
    <w:rsid w:val="0084335D"/>
    <w:rsid w:val="00867734"/>
    <w:rsid w:val="00AF195D"/>
    <w:rsid w:val="00B656C9"/>
    <w:rsid w:val="00DE0982"/>
    <w:rsid w:val="00E00176"/>
    <w:rsid w:val="00E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68C9"/>
  <w15:chartTrackingRefBased/>
  <w15:docId w15:val="{25074900-3A2F-4DF8-BFD8-2BC9712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5B4"/>
    <w:pPr>
      <w:keepNext/>
      <w:jc w:val="center"/>
      <w:outlineLvl w:val="0"/>
    </w:pPr>
    <w:rPr>
      <w:rFonts w:ascii="Trebuchet MS" w:hAnsi="Trebuchet MS"/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B4"/>
    <w:rPr>
      <w:rFonts w:ascii="Trebuchet MS" w:eastAsia="Times New Roman" w:hAnsi="Trebuchet MS" w:cs="Times New Roman"/>
      <w:b/>
      <w:bCs/>
      <w:sz w:val="1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BF34-5EDE-4FAE-B90D-FF4EC873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Миронова Василина</cp:lastModifiedBy>
  <cp:revision>6</cp:revision>
  <dcterms:created xsi:type="dcterms:W3CDTF">2022-01-31T06:49:00Z</dcterms:created>
  <dcterms:modified xsi:type="dcterms:W3CDTF">2022-03-11T14:53:00Z</dcterms:modified>
</cp:coreProperties>
</file>